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5EB26" w14:textId="77777777" w:rsidR="00C11A87" w:rsidRDefault="00000000">
      <w:pPr>
        <w:rPr>
          <w:b/>
        </w:rPr>
      </w:pPr>
      <w:r>
        <w:rPr>
          <w:b/>
        </w:rPr>
        <w:t xml:space="preserve">3GPP TSG RAN meeting #98-e                                                           </w:t>
      </w:r>
      <w:r>
        <w:rPr>
          <w:b/>
        </w:rPr>
        <w:tab/>
        <w:t>RP-222999                      Electronic Meeting, December 12-16, 2022</w:t>
      </w:r>
    </w:p>
    <w:p w14:paraId="465B08C4" w14:textId="77777777" w:rsidR="00C11A87" w:rsidRDefault="00C11A87">
      <w:pPr>
        <w:spacing w:after="180"/>
        <w:jc w:val="both"/>
        <w:rPr>
          <w:b/>
        </w:rPr>
      </w:pPr>
    </w:p>
    <w:p w14:paraId="2D6C19A0" w14:textId="77777777" w:rsidR="00C11A87" w:rsidRDefault="00000000">
      <w:pPr>
        <w:spacing w:line="360" w:lineRule="auto"/>
        <w:rPr>
          <w:b/>
        </w:rPr>
      </w:pPr>
      <w:r>
        <w:rPr>
          <w:b/>
        </w:rPr>
        <w:t xml:space="preserve">Agenda item:    </w:t>
      </w:r>
      <w:r>
        <w:rPr>
          <w:b/>
        </w:rPr>
        <w:tab/>
        <w:t>9.2.10</w:t>
      </w:r>
    </w:p>
    <w:p w14:paraId="271FE179" w14:textId="77777777" w:rsidR="00C11A87" w:rsidRDefault="00000000">
      <w:pPr>
        <w:spacing w:line="360" w:lineRule="auto"/>
        <w:rPr>
          <w:b/>
        </w:rPr>
      </w:pPr>
      <w:r>
        <w:rPr>
          <w:b/>
        </w:rPr>
        <w:t xml:space="preserve">Source:              </w:t>
      </w:r>
      <w:r>
        <w:rPr>
          <w:b/>
        </w:rPr>
        <w:tab/>
        <w:t>Meta USA</w:t>
      </w:r>
    </w:p>
    <w:p w14:paraId="0D19AA57" w14:textId="77777777" w:rsidR="00C11A87" w:rsidRDefault="00000000">
      <w:pPr>
        <w:spacing w:line="360" w:lineRule="auto"/>
        <w:rPr>
          <w:b/>
        </w:rPr>
      </w:pPr>
      <w:r>
        <w:rPr>
          <w:b/>
        </w:rPr>
        <w:t xml:space="preserve">Title:                   </w:t>
      </w:r>
      <w:r>
        <w:rPr>
          <w:b/>
        </w:rPr>
        <w:tab/>
        <w:t>Views on Rel. 18 XR Enhancements for NR</w:t>
      </w:r>
    </w:p>
    <w:p w14:paraId="2CA874BE" w14:textId="77777777" w:rsidR="00C11A87" w:rsidRDefault="00000000">
      <w:pPr>
        <w:spacing w:line="360" w:lineRule="auto"/>
        <w:rPr>
          <w:b/>
        </w:rPr>
      </w:pPr>
      <w:r>
        <w:rPr>
          <w:b/>
        </w:rPr>
        <w:t xml:space="preserve">Document for:  </w:t>
      </w:r>
      <w:r>
        <w:rPr>
          <w:b/>
        </w:rPr>
        <w:tab/>
        <w:t>Decision</w:t>
      </w:r>
    </w:p>
    <w:p w14:paraId="55936C26" w14:textId="77777777" w:rsidR="00C11A87" w:rsidRDefault="00000000">
      <w:pPr>
        <w:rPr>
          <w:b/>
        </w:rPr>
      </w:pPr>
      <w:r>
        <w:rPr>
          <w:b/>
        </w:rPr>
        <w:t>__________________________________________________________________</w:t>
      </w:r>
    </w:p>
    <w:p w14:paraId="13A8C074" w14:textId="77777777" w:rsidR="00C11A87" w:rsidRDefault="00000000">
      <w:pPr>
        <w:pStyle w:val="Heading1"/>
        <w:numPr>
          <w:ilvl w:val="0"/>
          <w:numId w:val="1"/>
        </w:numPr>
      </w:pPr>
      <w:bookmarkStart w:id="0" w:name="_27uyk6m8aydm" w:colFirst="0" w:colLast="0"/>
      <w:bookmarkEnd w:id="0"/>
      <w:r>
        <w:t>Introduction</w:t>
      </w:r>
    </w:p>
    <w:p w14:paraId="4BEBE307" w14:textId="66B0C385" w:rsidR="00C11A87" w:rsidRDefault="00000000">
      <w:r>
        <w:t xml:space="preserve">In recent years, XR has gathered substantial interests in the wireless communication ecosystem including the 3GPP community. Specifically, </w:t>
      </w:r>
      <w:r w:rsidR="00B7505A">
        <w:t>t</w:t>
      </w:r>
      <w:r>
        <w:t>he Rel-17 XR over NR evaluation study item was completed in Q4 2021, and the outcome has been captured in 38.838. The Rel-18 RAN XR over Enhancements study item has started in May 2022, which is expected to be followed by a WI in Rel-18.  In this paper, we provide our view</w:t>
      </w:r>
      <w:r w:rsidR="00B7505A">
        <w:t>s</w:t>
      </w:r>
      <w:r>
        <w:t xml:space="preserve"> on the follow-up plan on Rel. 18 XR over NR Enhancements. Additionally, we also provide our views on the support of XR-type devices.</w:t>
      </w:r>
    </w:p>
    <w:p w14:paraId="337168EC" w14:textId="77777777" w:rsidR="00C11A87" w:rsidRDefault="00000000">
      <w:pPr>
        <w:pStyle w:val="Heading1"/>
        <w:numPr>
          <w:ilvl w:val="0"/>
          <w:numId w:val="2"/>
        </w:numPr>
        <w:spacing w:after="0"/>
      </w:pPr>
      <w:bookmarkStart w:id="1" w:name="_9r4txxlewfhy" w:colFirst="0" w:colLast="0"/>
      <w:bookmarkEnd w:id="1"/>
      <w:r>
        <w:t>Discussion</w:t>
      </w:r>
    </w:p>
    <w:p w14:paraId="20D2F65C" w14:textId="77777777" w:rsidR="00C11A87" w:rsidRDefault="00000000">
      <w:pPr>
        <w:pStyle w:val="Heading2"/>
        <w:numPr>
          <w:ilvl w:val="1"/>
          <w:numId w:val="2"/>
        </w:numPr>
        <w:spacing w:before="0"/>
        <w:ind w:left="990" w:hanging="270"/>
      </w:pPr>
      <w:bookmarkStart w:id="2" w:name="_dbjokl15wbyt" w:colFirst="0" w:colLast="0"/>
      <w:bookmarkEnd w:id="2"/>
      <w:r>
        <w:t>Views on Rel.18 XR over NR Enhancements Work Plan</w:t>
      </w:r>
    </w:p>
    <w:p w14:paraId="5841EBFB" w14:textId="3A79ACEF" w:rsidR="00C11A87" w:rsidRDefault="00000000">
      <w:pPr>
        <w:spacing w:after="180"/>
        <w:rPr>
          <w:sz w:val="20"/>
          <w:szCs w:val="20"/>
        </w:rPr>
      </w:pPr>
      <w:r>
        <w:rPr>
          <w:sz w:val="20"/>
          <w:szCs w:val="20"/>
        </w:rPr>
        <w:t>According to the RAN-led Rel. 18 XR over NR Enhancement SID [</w:t>
      </w:r>
      <w:r w:rsidR="00B7505A">
        <w:t>2</w:t>
      </w:r>
      <w:r>
        <w:rPr>
          <w:sz w:val="20"/>
          <w:szCs w:val="20"/>
        </w:rPr>
        <w:t>], there are three main objectives, namely</w:t>
      </w:r>
    </w:p>
    <w:p w14:paraId="7406DDBD" w14:textId="77777777" w:rsidR="00C11A87" w:rsidRDefault="00000000">
      <w:pPr>
        <w:numPr>
          <w:ilvl w:val="0"/>
          <w:numId w:val="3"/>
        </w:numPr>
        <w:rPr>
          <w:sz w:val="20"/>
          <w:szCs w:val="20"/>
        </w:rPr>
      </w:pPr>
      <w:r>
        <w:rPr>
          <w:sz w:val="20"/>
          <w:szCs w:val="20"/>
        </w:rPr>
        <w:t>XR-awareness in RAN [RAN2]</w:t>
      </w:r>
    </w:p>
    <w:p w14:paraId="46758888" w14:textId="77777777" w:rsidR="00C11A87" w:rsidRDefault="00000000">
      <w:pPr>
        <w:numPr>
          <w:ilvl w:val="0"/>
          <w:numId w:val="3"/>
        </w:numPr>
        <w:rPr>
          <w:sz w:val="20"/>
          <w:szCs w:val="20"/>
        </w:rPr>
      </w:pPr>
      <w:r>
        <w:rPr>
          <w:sz w:val="20"/>
          <w:szCs w:val="20"/>
        </w:rPr>
        <w:t>XR-specific Power Saving (RAN1, RAN2):</w:t>
      </w:r>
    </w:p>
    <w:p w14:paraId="2603A066" w14:textId="77777777" w:rsidR="00C11A87" w:rsidRDefault="00000000">
      <w:pPr>
        <w:numPr>
          <w:ilvl w:val="0"/>
          <w:numId w:val="3"/>
        </w:numPr>
        <w:spacing w:after="180"/>
        <w:rPr>
          <w:sz w:val="20"/>
          <w:szCs w:val="20"/>
        </w:rPr>
      </w:pPr>
      <w:r>
        <w:rPr>
          <w:sz w:val="20"/>
          <w:szCs w:val="20"/>
        </w:rPr>
        <w:t>XR-specific capacity improvements (RAN1, RAN2)</w:t>
      </w:r>
    </w:p>
    <w:p w14:paraId="742D3E78" w14:textId="77777777" w:rsidR="00C11A87" w:rsidRDefault="00000000">
      <w:pPr>
        <w:spacing w:after="180"/>
        <w:rPr>
          <w:sz w:val="20"/>
          <w:szCs w:val="20"/>
        </w:rPr>
      </w:pPr>
      <w:r>
        <w:rPr>
          <w:sz w:val="20"/>
          <w:szCs w:val="20"/>
        </w:rPr>
        <w:t xml:space="preserve">With the following timeline as a reference: </w:t>
      </w:r>
    </w:p>
    <w:p w14:paraId="06C2847F" w14:textId="77777777" w:rsidR="00C11A87" w:rsidRDefault="00000000">
      <w:pPr>
        <w:spacing w:after="180"/>
        <w:rPr>
          <w:sz w:val="20"/>
          <w:szCs w:val="20"/>
        </w:rPr>
      </w:pPr>
      <w:r>
        <w:rPr>
          <w:noProof/>
          <w:sz w:val="20"/>
          <w:szCs w:val="20"/>
        </w:rPr>
        <w:drawing>
          <wp:inline distT="114300" distB="114300" distL="114300" distR="114300" wp14:anchorId="4AFEA99D" wp14:editId="26BDB684">
            <wp:extent cx="5943600" cy="17272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5943600" cy="1727200"/>
                    </a:xfrm>
                    <a:prstGeom prst="rect">
                      <a:avLst/>
                    </a:prstGeom>
                    <a:ln/>
                  </pic:spPr>
                </pic:pic>
              </a:graphicData>
            </a:graphic>
          </wp:inline>
        </w:drawing>
      </w:r>
    </w:p>
    <w:p w14:paraId="6F61BC33" w14:textId="77777777" w:rsidR="00C11A87" w:rsidRDefault="00C11A87">
      <w:pPr>
        <w:spacing w:after="180"/>
        <w:rPr>
          <w:sz w:val="20"/>
          <w:szCs w:val="20"/>
        </w:rPr>
      </w:pPr>
    </w:p>
    <w:p w14:paraId="137DD5FC" w14:textId="3B896E7E" w:rsidR="00C11A87" w:rsidRDefault="00000000">
      <w:pPr>
        <w:spacing w:after="180"/>
        <w:rPr>
          <w:sz w:val="20"/>
          <w:szCs w:val="20"/>
        </w:rPr>
      </w:pPr>
      <w:r>
        <w:rPr>
          <w:sz w:val="20"/>
          <w:szCs w:val="20"/>
        </w:rPr>
        <w:t xml:space="preserve">The target of the completion of the study phase is RAN#98.  Based on the status report and the RAN1/2 chair notes.  RAN1 and RAN2 were able to complete both XR-specific Power Saving and XR-specific capacity improvements study. </w:t>
      </w:r>
    </w:p>
    <w:p w14:paraId="5D86D5EC" w14:textId="59CC76AD" w:rsidR="00C11A87" w:rsidRDefault="00000000">
      <w:pPr>
        <w:spacing w:after="180"/>
        <w:rPr>
          <w:b/>
          <w:sz w:val="20"/>
          <w:szCs w:val="20"/>
        </w:rPr>
      </w:pPr>
      <w:r>
        <w:rPr>
          <w:b/>
          <w:sz w:val="20"/>
          <w:szCs w:val="20"/>
        </w:rPr>
        <w:lastRenderedPageBreak/>
        <w:t xml:space="preserve">Observation 1: Both XR-specific power saving and XR-specific capacity improvements were completed and are ready for moving into the work item phase. </w:t>
      </w:r>
    </w:p>
    <w:p w14:paraId="18C9B37A" w14:textId="5DDC381C" w:rsidR="00C11A87" w:rsidRDefault="00000000">
      <w:pPr>
        <w:spacing w:after="180"/>
        <w:rPr>
          <w:sz w:val="20"/>
          <w:szCs w:val="20"/>
        </w:rPr>
      </w:pPr>
      <w:r>
        <w:rPr>
          <w:sz w:val="20"/>
          <w:szCs w:val="20"/>
        </w:rPr>
        <w:t>For the XR-awareness RAN objectives, as most key issues need the coordination with SA2. Although RAN2 has yet to conclude a few open issues on XR-awareness due to the delay in SA2 XRM completion, However, SA2 has completed the XRM study phase</w:t>
      </w:r>
      <w:r w:rsidR="00B7505A">
        <w:rPr>
          <w:sz w:val="20"/>
          <w:szCs w:val="20"/>
        </w:rPr>
        <w:t xml:space="preserve"> [1]</w:t>
      </w:r>
      <w:r>
        <w:rPr>
          <w:sz w:val="20"/>
          <w:szCs w:val="20"/>
        </w:rPr>
        <w:t xml:space="preserve"> and the corresponding work item has been approved [</w:t>
      </w:r>
      <w:r w:rsidR="00B7505A">
        <w:rPr>
          <w:sz w:val="20"/>
          <w:szCs w:val="20"/>
        </w:rPr>
        <w:t>5</w:t>
      </w:r>
      <w:r>
        <w:rPr>
          <w:sz w:val="20"/>
          <w:szCs w:val="20"/>
        </w:rPr>
        <w:t xml:space="preserve">].  The outcome of the study phase of SA2 </w:t>
      </w:r>
      <w:r w:rsidR="007767BB">
        <w:rPr>
          <w:sz w:val="20"/>
          <w:szCs w:val="20"/>
        </w:rPr>
        <w:t xml:space="preserve">[6] </w:t>
      </w:r>
      <w:r>
        <w:rPr>
          <w:sz w:val="20"/>
          <w:szCs w:val="20"/>
        </w:rPr>
        <w:t>has been sent to RAN2 and expected to be captured in TR 38.835 for presentation in RAN#98-e.  It should be noted that while RAN2 cannot conclude the XR-awareness RAN study phase based on the original schedule, most of the open issues and the corresponding options are well understood</w:t>
      </w:r>
      <w:r w:rsidR="007A7E90">
        <w:rPr>
          <w:sz w:val="20"/>
          <w:szCs w:val="20"/>
        </w:rPr>
        <w:t>.</w:t>
      </w:r>
    </w:p>
    <w:p w14:paraId="0CF702A6" w14:textId="77777777" w:rsidR="00C11A87" w:rsidRDefault="00000000">
      <w:pPr>
        <w:spacing w:after="180"/>
        <w:rPr>
          <w:sz w:val="20"/>
          <w:szCs w:val="20"/>
        </w:rPr>
      </w:pPr>
      <w:r>
        <w:rPr>
          <w:b/>
          <w:sz w:val="20"/>
          <w:szCs w:val="20"/>
        </w:rPr>
        <w:t xml:space="preserve">Observation 2: SA2 has completed the related study on XR-awareness and approved a follow-up WI. Although RAN2 has yet to conclude the XR-awareness RAN in the TR, most of the open issues and the corresponding options are well understood and identified. </w:t>
      </w:r>
    </w:p>
    <w:p w14:paraId="7B2D5E09" w14:textId="77777777" w:rsidR="00C11A87" w:rsidRDefault="00000000">
      <w:pPr>
        <w:spacing w:after="180"/>
        <w:rPr>
          <w:sz w:val="20"/>
          <w:szCs w:val="20"/>
        </w:rPr>
      </w:pPr>
      <w:r>
        <w:rPr>
          <w:sz w:val="20"/>
          <w:szCs w:val="20"/>
        </w:rPr>
        <w:t xml:space="preserve">Based on the above observation, there are two trivial options, either to (1) extend the study phase by one quarter to allow RAN2 to conclude the TR or (2) approve a work time based on the original schedule while allowing RAN2 to complete the TR for approval in RAN#99. One of the drawbacks of option (1) is that RAN1 would not be able to start the normative work in Q1 risking the completion of the work item phase. Hence, we would prefer the Option (2). That is to approve the work item in RAN#98-e while allowing the RAN2 to complete the TR in Q1. </w:t>
      </w:r>
    </w:p>
    <w:p w14:paraId="167D8744" w14:textId="77777777" w:rsidR="00C11A87" w:rsidRDefault="00000000">
      <w:pPr>
        <w:spacing w:after="180"/>
        <w:rPr>
          <w:b/>
          <w:sz w:val="20"/>
          <w:szCs w:val="20"/>
        </w:rPr>
      </w:pPr>
      <w:r>
        <w:rPr>
          <w:b/>
          <w:sz w:val="20"/>
          <w:szCs w:val="20"/>
        </w:rPr>
        <w:t xml:space="preserve">Proposal 1:  To keep the timeline intact, approve the Rel. 18 XR over NR Enhancement WID in RAN#98, while allowing RAN2 to complete the TR on XR awareness in 2023Q1. </w:t>
      </w:r>
    </w:p>
    <w:p w14:paraId="68BB0940" w14:textId="77777777" w:rsidR="00C11A87" w:rsidRDefault="00000000">
      <w:pPr>
        <w:pStyle w:val="Heading2"/>
        <w:numPr>
          <w:ilvl w:val="1"/>
          <w:numId w:val="2"/>
        </w:numPr>
        <w:ind w:left="990" w:hanging="270"/>
      </w:pPr>
      <w:bookmarkStart w:id="3" w:name="_z0xmbjh8fegf" w:colFirst="0" w:colLast="0"/>
      <w:bookmarkEnd w:id="3"/>
      <w:r>
        <w:t>Views on XR Type Devices</w:t>
      </w:r>
    </w:p>
    <w:p w14:paraId="6A5EDC60" w14:textId="75D9C04B" w:rsidR="00C11A87" w:rsidRPr="00B7505A" w:rsidRDefault="00000000">
      <w:pPr>
        <w:rPr>
          <w:sz w:val="20"/>
          <w:szCs w:val="20"/>
        </w:rPr>
      </w:pPr>
      <w:r w:rsidRPr="00B7505A">
        <w:rPr>
          <w:sz w:val="20"/>
          <w:szCs w:val="20"/>
        </w:rPr>
        <w:t xml:space="preserve">In recent RAN meetings, there have been several contributions requesting to </w:t>
      </w:r>
      <w:proofErr w:type="gramStart"/>
      <w:r w:rsidRPr="00B7505A">
        <w:rPr>
          <w:sz w:val="20"/>
          <w:szCs w:val="20"/>
        </w:rPr>
        <w:t>take into account</w:t>
      </w:r>
      <w:proofErr w:type="gramEnd"/>
      <w:r w:rsidRPr="00B7505A">
        <w:rPr>
          <w:sz w:val="20"/>
          <w:szCs w:val="20"/>
        </w:rPr>
        <w:t xml:space="preserve"> the XR device formfactor restrictions into consideration for the support of high data rates XR applications.  We fully agree that for some XR wearable devices, such as AR glasses, the size and formfactor limitation makes it not possible to fit 4Rx in some of those devices in FR1 high bands.  While one can argue that currently Rel. 17 </w:t>
      </w:r>
      <w:proofErr w:type="spellStart"/>
      <w:r w:rsidRPr="00B7505A">
        <w:rPr>
          <w:sz w:val="20"/>
          <w:szCs w:val="20"/>
        </w:rPr>
        <w:t>RedCap</w:t>
      </w:r>
      <w:proofErr w:type="spellEnd"/>
      <w:r w:rsidRPr="00B7505A">
        <w:rPr>
          <w:sz w:val="20"/>
          <w:szCs w:val="20"/>
        </w:rPr>
        <w:t xml:space="preserve"> already supports up to 2RX, some of the restrictions such as 20MHz bandwidth limitation, makes it unlikely to support </w:t>
      </w:r>
      <w:r w:rsidR="00B7505A" w:rsidRPr="00B7505A">
        <w:rPr>
          <w:sz w:val="20"/>
          <w:szCs w:val="20"/>
        </w:rPr>
        <w:t>high data rates</w:t>
      </w:r>
      <w:r w:rsidRPr="00B7505A">
        <w:rPr>
          <w:sz w:val="20"/>
          <w:szCs w:val="20"/>
        </w:rPr>
        <w:t xml:space="preserve"> AR applications without further enhancements, such as 100MHz and CA/DC support. </w:t>
      </w:r>
    </w:p>
    <w:p w14:paraId="54393FF1" w14:textId="77777777" w:rsidR="00C11A87" w:rsidRPr="00B7505A" w:rsidRDefault="00C11A87">
      <w:pPr>
        <w:rPr>
          <w:sz w:val="20"/>
          <w:szCs w:val="20"/>
        </w:rPr>
      </w:pPr>
    </w:p>
    <w:p w14:paraId="3356DE10" w14:textId="52A9A561" w:rsidR="00C11A87" w:rsidRPr="00B7505A" w:rsidRDefault="00000000">
      <w:pPr>
        <w:rPr>
          <w:rFonts w:ascii="Arial" w:eastAsia="Arial" w:hAnsi="Arial" w:cs="Arial"/>
          <w:b/>
          <w:color w:val="808080"/>
          <w:sz w:val="20"/>
          <w:szCs w:val="20"/>
        </w:rPr>
      </w:pPr>
      <w:r w:rsidRPr="00B7505A">
        <w:rPr>
          <w:b/>
          <w:sz w:val="20"/>
          <w:szCs w:val="20"/>
        </w:rPr>
        <w:t xml:space="preserve">Proposal 2:  </w:t>
      </w:r>
      <w:r w:rsidR="00B7505A" w:rsidRPr="00B7505A">
        <w:rPr>
          <w:b/>
          <w:sz w:val="20"/>
          <w:szCs w:val="20"/>
        </w:rPr>
        <w:t xml:space="preserve">To add the support of 2RX for FR1 high bands supporting high data rates XR type devices.  </w:t>
      </w:r>
    </w:p>
    <w:p w14:paraId="2691D9AA" w14:textId="77777777" w:rsidR="00C11A87" w:rsidRDefault="00000000">
      <w:pPr>
        <w:pStyle w:val="Heading1"/>
        <w:numPr>
          <w:ilvl w:val="0"/>
          <w:numId w:val="2"/>
        </w:numPr>
      </w:pPr>
      <w:bookmarkStart w:id="4" w:name="_lxwwq1mcnpqb" w:colFirst="0" w:colLast="0"/>
      <w:bookmarkEnd w:id="4"/>
      <w:r>
        <w:t>Conclusion</w:t>
      </w:r>
    </w:p>
    <w:p w14:paraId="44581E08" w14:textId="0931A5EA" w:rsidR="00C11A87" w:rsidRDefault="00000000">
      <w:pPr>
        <w:spacing w:after="180"/>
        <w:rPr>
          <w:b/>
          <w:sz w:val="20"/>
          <w:szCs w:val="20"/>
        </w:rPr>
      </w:pPr>
      <w:r>
        <w:rPr>
          <w:b/>
          <w:sz w:val="20"/>
          <w:szCs w:val="20"/>
        </w:rPr>
        <w:t xml:space="preserve">Observation 1: Both XR-specific power saving and XR-specific capacity improvements were completed and are ready for moving into the work item phase. </w:t>
      </w:r>
    </w:p>
    <w:p w14:paraId="0384F97E" w14:textId="77777777" w:rsidR="00C11A87" w:rsidRDefault="00000000">
      <w:pPr>
        <w:spacing w:after="180"/>
        <w:rPr>
          <w:b/>
          <w:sz w:val="20"/>
          <w:szCs w:val="20"/>
        </w:rPr>
      </w:pPr>
      <w:r>
        <w:rPr>
          <w:b/>
          <w:sz w:val="20"/>
          <w:szCs w:val="20"/>
        </w:rPr>
        <w:t xml:space="preserve">Observation 2: SA2 has completed the related study on XR-awareness and approved a follow-up WI. Although RAN2 has yet to conclude the XR-awareness RAN in the TR, most of the open issues and the corresponding options are well understood and identified. </w:t>
      </w:r>
    </w:p>
    <w:p w14:paraId="1F640F6C" w14:textId="77777777" w:rsidR="00C11A87" w:rsidRDefault="00000000">
      <w:pPr>
        <w:spacing w:after="180"/>
        <w:rPr>
          <w:b/>
          <w:color w:val="808080"/>
          <w:sz w:val="20"/>
          <w:szCs w:val="20"/>
        </w:rPr>
      </w:pPr>
      <w:r>
        <w:rPr>
          <w:b/>
          <w:sz w:val="20"/>
          <w:szCs w:val="20"/>
        </w:rPr>
        <w:t xml:space="preserve">Proposal 1:  To keep the timeline intact, approve the Rel. 18 XR over NR Enhancement WID in RAN#98, while allowing RAN2 to complete the TR on XR awareness in 2023Q1. </w:t>
      </w:r>
    </w:p>
    <w:p w14:paraId="75AC6394" w14:textId="579E1743" w:rsidR="00C11A87" w:rsidRPr="003450B5" w:rsidRDefault="00000000">
      <w:pPr>
        <w:rPr>
          <w:b/>
          <w:color w:val="808080"/>
          <w:sz w:val="20"/>
          <w:szCs w:val="20"/>
        </w:rPr>
      </w:pPr>
      <w:r>
        <w:rPr>
          <w:b/>
          <w:sz w:val="20"/>
          <w:szCs w:val="20"/>
        </w:rPr>
        <w:t xml:space="preserve">Proposal 2:  To add the support of 2RX for FR1 high bands supporting high data rates XR type devices.  </w:t>
      </w:r>
    </w:p>
    <w:p w14:paraId="71750CD7" w14:textId="261BF507" w:rsidR="00C11A87" w:rsidRDefault="00000000">
      <w:pPr>
        <w:pStyle w:val="Heading1"/>
        <w:numPr>
          <w:ilvl w:val="0"/>
          <w:numId w:val="2"/>
        </w:numPr>
      </w:pPr>
      <w:bookmarkStart w:id="5" w:name="_9mooqbkiqj41" w:colFirst="0" w:colLast="0"/>
      <w:bookmarkEnd w:id="5"/>
      <w:r>
        <w:t>References</w:t>
      </w:r>
    </w:p>
    <w:p w14:paraId="559160C7" w14:textId="77777777" w:rsidR="003450B5" w:rsidRPr="007767BB" w:rsidRDefault="003450B5" w:rsidP="003450B5">
      <w:pPr>
        <w:spacing w:after="60"/>
        <w:rPr>
          <w:rFonts w:ascii="Times" w:hAnsi="Times" w:cs="Arial"/>
          <w:b/>
          <w:color w:val="000000" w:themeColor="text1"/>
          <w:sz w:val="20"/>
          <w:szCs w:val="20"/>
        </w:rPr>
      </w:pPr>
      <w:r w:rsidRPr="007767BB">
        <w:rPr>
          <w:rFonts w:ascii="Times" w:hAnsi="Times" w:cs="Arial"/>
          <w:b/>
          <w:color w:val="000000" w:themeColor="text1"/>
          <w:sz w:val="20"/>
          <w:szCs w:val="20"/>
        </w:rPr>
        <w:t>[1]   SP-220705, SA2 Revised SID on Study on XR (Extended Reality) and media services, June 2022</w:t>
      </w:r>
    </w:p>
    <w:p w14:paraId="453AA336" w14:textId="2CF898A9" w:rsidR="003450B5" w:rsidRPr="007767BB" w:rsidRDefault="003450B5" w:rsidP="003450B5">
      <w:pPr>
        <w:spacing w:after="60"/>
        <w:rPr>
          <w:rFonts w:ascii="Times" w:hAnsi="Times" w:cs="Arial"/>
          <w:b/>
          <w:color w:val="000000" w:themeColor="text1"/>
          <w:sz w:val="20"/>
          <w:szCs w:val="20"/>
        </w:rPr>
      </w:pPr>
      <w:r w:rsidRPr="007767BB">
        <w:rPr>
          <w:rFonts w:ascii="Times" w:hAnsi="Times" w:cs="Arial"/>
          <w:b/>
          <w:color w:val="000000" w:themeColor="text1"/>
          <w:sz w:val="20"/>
          <w:szCs w:val="20"/>
        </w:rPr>
        <w:t>[2]   RP-220285, RAN Revised SID on Study on XR Enhancements for NR, March 2022.</w:t>
      </w:r>
    </w:p>
    <w:p w14:paraId="730D1CE9" w14:textId="4CF52006" w:rsidR="00C11A87" w:rsidRPr="007767BB" w:rsidRDefault="00000000" w:rsidP="0097171D">
      <w:pPr>
        <w:spacing w:after="60"/>
        <w:rPr>
          <w:rFonts w:ascii="Times" w:eastAsia="Calibri" w:hAnsi="Times" w:cs="Arial"/>
          <w:b/>
          <w:color w:val="000000" w:themeColor="text1"/>
          <w:sz w:val="20"/>
          <w:szCs w:val="20"/>
        </w:rPr>
      </w:pPr>
      <w:r w:rsidRPr="007767BB">
        <w:rPr>
          <w:rFonts w:ascii="Times" w:eastAsia="Calibri" w:hAnsi="Times" w:cs="Arial"/>
          <w:b/>
          <w:color w:val="000000" w:themeColor="text1"/>
          <w:sz w:val="20"/>
          <w:szCs w:val="20"/>
        </w:rPr>
        <w:t>[</w:t>
      </w:r>
      <w:r w:rsidR="0097171D" w:rsidRPr="007767BB">
        <w:rPr>
          <w:rFonts w:ascii="Times" w:eastAsia="Calibri" w:hAnsi="Times" w:cs="Arial"/>
          <w:b/>
          <w:color w:val="000000" w:themeColor="text1"/>
          <w:sz w:val="20"/>
          <w:szCs w:val="20"/>
        </w:rPr>
        <w:t>3</w:t>
      </w:r>
      <w:r w:rsidRPr="007767BB">
        <w:rPr>
          <w:rFonts w:ascii="Times" w:eastAsia="Calibri" w:hAnsi="Times" w:cs="Arial"/>
          <w:b/>
          <w:color w:val="000000" w:themeColor="text1"/>
          <w:sz w:val="20"/>
          <w:szCs w:val="20"/>
        </w:rPr>
        <w:t>]</w:t>
      </w:r>
      <w:r w:rsidRPr="007767BB">
        <w:rPr>
          <w:rFonts w:ascii="Times" w:hAnsi="Times" w:cs="Arial"/>
          <w:b/>
          <w:color w:val="000000" w:themeColor="text1"/>
          <w:sz w:val="20"/>
          <w:szCs w:val="20"/>
        </w:rPr>
        <w:t xml:space="preserve"> </w:t>
      </w:r>
      <w:r w:rsidRPr="007767BB">
        <w:rPr>
          <w:rFonts w:ascii="Times" w:eastAsia="Calibri" w:hAnsi="Times" w:cs="Arial"/>
          <w:b/>
          <w:color w:val="000000" w:themeColor="text1"/>
          <w:sz w:val="20"/>
          <w:szCs w:val="20"/>
        </w:rPr>
        <w:t>RP-221692, “Views on Rel-18 XR”, Appl</w:t>
      </w:r>
      <w:r w:rsidR="0097171D" w:rsidRPr="007767BB">
        <w:rPr>
          <w:rFonts w:ascii="Times" w:eastAsia="Calibri" w:hAnsi="Times" w:cs="Arial"/>
          <w:b/>
          <w:color w:val="000000" w:themeColor="text1"/>
          <w:sz w:val="20"/>
          <w:szCs w:val="20"/>
        </w:rPr>
        <w:t>e, Samsung</w:t>
      </w:r>
    </w:p>
    <w:p w14:paraId="0F370630" w14:textId="0703AA1A" w:rsidR="0097171D" w:rsidRPr="007767BB" w:rsidRDefault="0097171D" w:rsidP="0097171D">
      <w:pPr>
        <w:spacing w:after="60"/>
        <w:rPr>
          <w:rFonts w:ascii="Times" w:hAnsi="Times" w:cs="Arial"/>
          <w:b/>
          <w:color w:val="000000" w:themeColor="text1"/>
          <w:sz w:val="20"/>
          <w:szCs w:val="20"/>
        </w:rPr>
      </w:pPr>
      <w:r w:rsidRPr="007767BB">
        <w:rPr>
          <w:rFonts w:ascii="Times" w:hAnsi="Times" w:cs="Arial"/>
          <w:b/>
          <w:color w:val="000000" w:themeColor="text1"/>
          <w:sz w:val="20"/>
          <w:szCs w:val="20"/>
        </w:rPr>
        <w:lastRenderedPageBreak/>
        <w:t>[4]</w:t>
      </w:r>
      <w:r w:rsidR="00B7505A" w:rsidRPr="007767BB">
        <w:rPr>
          <w:rFonts w:ascii="Times" w:hAnsi="Times" w:cs="Arial"/>
          <w:b/>
          <w:color w:val="000000" w:themeColor="text1"/>
          <w:sz w:val="20"/>
          <w:szCs w:val="20"/>
        </w:rPr>
        <w:t xml:space="preserve"> RP-222064, “Views on Support of XR with 2RX,” Qualcomm</w:t>
      </w:r>
    </w:p>
    <w:p w14:paraId="42156CE0" w14:textId="3473584F" w:rsidR="00C11A87" w:rsidRPr="007767BB" w:rsidRDefault="0097171D" w:rsidP="0097171D">
      <w:pPr>
        <w:spacing w:after="60"/>
        <w:rPr>
          <w:rFonts w:ascii="Times" w:eastAsia="Batang" w:hAnsi="Times" w:cs="Arial"/>
          <w:b/>
          <w:color w:val="000000" w:themeColor="text1"/>
          <w:sz w:val="20"/>
          <w:szCs w:val="20"/>
          <w:lang w:eastAsia="zh-CN"/>
        </w:rPr>
      </w:pPr>
      <w:r w:rsidRPr="007767BB">
        <w:rPr>
          <w:rFonts w:ascii="Times" w:hAnsi="Times" w:cs="Arial"/>
          <w:b/>
          <w:color w:val="000000" w:themeColor="text1"/>
          <w:sz w:val="20"/>
          <w:szCs w:val="20"/>
        </w:rPr>
        <w:t xml:space="preserve">[5] </w:t>
      </w:r>
      <w:r w:rsidR="00000000" w:rsidRPr="007767BB">
        <w:rPr>
          <w:rFonts w:ascii="Times" w:hAnsi="Times" w:cs="Arial"/>
          <w:b/>
          <w:color w:val="000000" w:themeColor="text1"/>
          <w:sz w:val="20"/>
          <w:szCs w:val="20"/>
        </w:rPr>
        <w:t>SP-221134</w:t>
      </w:r>
      <w:r w:rsidR="00B7505A" w:rsidRPr="007767BB">
        <w:rPr>
          <w:rFonts w:ascii="Times" w:hAnsi="Times" w:cs="Arial"/>
          <w:b/>
          <w:color w:val="000000" w:themeColor="text1"/>
          <w:sz w:val="20"/>
          <w:szCs w:val="20"/>
        </w:rPr>
        <w:t>, “</w:t>
      </w:r>
      <w:r w:rsidR="00B7505A" w:rsidRPr="007767BB">
        <w:rPr>
          <w:rFonts w:ascii="Times" w:eastAsia="Batang" w:hAnsi="Times" w:cs="Arial"/>
          <w:b/>
          <w:color w:val="000000" w:themeColor="text1"/>
          <w:sz w:val="20"/>
          <w:szCs w:val="20"/>
          <w:lang w:eastAsia="zh-CN"/>
        </w:rPr>
        <w:t>New WID: Architecture Enhancements for XR and media services</w:t>
      </w:r>
      <w:r w:rsidR="00B7505A" w:rsidRPr="007767BB">
        <w:rPr>
          <w:rFonts w:ascii="Times" w:eastAsia="Batang" w:hAnsi="Times" w:cs="Arial"/>
          <w:b/>
          <w:color w:val="000000" w:themeColor="text1"/>
          <w:sz w:val="20"/>
          <w:szCs w:val="20"/>
          <w:lang w:eastAsia="zh-CN"/>
        </w:rPr>
        <w:t>”, SA2</w:t>
      </w:r>
    </w:p>
    <w:p w14:paraId="6ECC5EF9" w14:textId="77777777" w:rsidR="007767BB" w:rsidRPr="007767BB" w:rsidRDefault="007767BB" w:rsidP="007767BB">
      <w:pPr>
        <w:pStyle w:val="References"/>
        <w:rPr>
          <w:rFonts w:ascii="Times" w:hAnsi="Times"/>
          <w:b/>
          <w:bCs/>
        </w:rPr>
      </w:pPr>
      <w:r w:rsidRPr="007767BB">
        <w:rPr>
          <w:rFonts w:ascii="Times" w:eastAsia="Batang" w:hAnsi="Times" w:cs="Arial"/>
          <w:b/>
          <w:color w:val="000000" w:themeColor="text1"/>
          <w:szCs w:val="20"/>
          <w:lang w:eastAsia="zh-CN"/>
        </w:rPr>
        <w:t xml:space="preserve">[6] </w:t>
      </w:r>
      <w:bookmarkStart w:id="6" w:name="_Ref120296305"/>
      <w:r w:rsidRPr="007767BB">
        <w:rPr>
          <w:rFonts w:ascii="Times" w:hAnsi="Times"/>
          <w:b/>
          <w:bCs/>
        </w:rPr>
        <w:t>3GPP TR 23.700-60 V1.3.0 (2022-11)</w:t>
      </w:r>
      <w:bookmarkEnd w:id="6"/>
    </w:p>
    <w:p w14:paraId="5690A430" w14:textId="7523E5D2" w:rsidR="007767BB" w:rsidRPr="00B7505A" w:rsidRDefault="007767BB" w:rsidP="0097171D">
      <w:pPr>
        <w:spacing w:after="60"/>
        <w:rPr>
          <w:rFonts w:ascii="Arial" w:hAnsi="Arial" w:cs="Arial"/>
          <w:b/>
          <w:color w:val="000000" w:themeColor="text1"/>
          <w:sz w:val="20"/>
          <w:szCs w:val="20"/>
        </w:rPr>
      </w:pPr>
    </w:p>
    <w:sectPr w:rsidR="007767BB" w:rsidRPr="00B7505A">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33F50"/>
    <w:multiLevelType w:val="multilevel"/>
    <w:tmpl w:val="3AE020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C6666EE"/>
    <w:multiLevelType w:val="multilevel"/>
    <w:tmpl w:val="EFC4F312"/>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22886B8D"/>
    <w:multiLevelType w:val="multilevel"/>
    <w:tmpl w:val="94B2FCB2"/>
    <w:lvl w:ilvl="0">
      <w:start w:val="2"/>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3" w15:restartNumberingAfterBreak="0">
    <w:nsid w:val="3A877D64"/>
    <w:multiLevelType w:val="singleLevel"/>
    <w:tmpl w:val="5DA6FC16"/>
    <w:lvl w:ilvl="0">
      <w:start w:val="1"/>
      <w:numFmt w:val="decimal"/>
      <w:lvlText w:val="[%1]"/>
      <w:lvlJc w:val="left"/>
      <w:pPr>
        <w:tabs>
          <w:tab w:val="num" w:pos="360"/>
        </w:tabs>
        <w:ind w:left="360" w:hanging="360"/>
      </w:pPr>
    </w:lvl>
  </w:abstractNum>
  <w:num w:numId="1" w16cid:durableId="762260578">
    <w:abstractNumId w:val="1"/>
  </w:num>
  <w:num w:numId="2" w16cid:durableId="159587412">
    <w:abstractNumId w:val="2"/>
  </w:num>
  <w:num w:numId="3" w16cid:durableId="1293248850">
    <w:abstractNumId w:val="0"/>
  </w:num>
  <w:num w:numId="4" w16cid:durableId="6392619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A87"/>
    <w:rsid w:val="001A5ED6"/>
    <w:rsid w:val="003450B5"/>
    <w:rsid w:val="007767BB"/>
    <w:rsid w:val="007A7E90"/>
    <w:rsid w:val="0097171D"/>
    <w:rsid w:val="00B7505A"/>
    <w:rsid w:val="00C11A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FA87E2B"/>
  <w15:docId w15:val="{33C59227-EDEB-A14D-AB65-775F814EB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505A"/>
    <w:pPr>
      <w:spacing w:line="240" w:lineRule="auto"/>
    </w:pPr>
    <w:rPr>
      <w:rFonts w:ascii="Times New Roman" w:eastAsia="Times New Roman" w:hAnsi="Times New Roman" w:cs="Times New Roman"/>
      <w:sz w:val="24"/>
      <w:szCs w:val="24"/>
      <w:lang w:val="en-US"/>
    </w:rPr>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rPr>
  </w:style>
  <w:style w:type="paragraph" w:styleId="Heading5">
    <w:name w:val="heading 5"/>
    <w:basedOn w:val="Normal"/>
    <w:next w:val="Normal"/>
    <w:uiPriority w:val="9"/>
    <w:semiHidden/>
    <w:unhideWhenUsed/>
    <w:qFormat/>
    <w:pPr>
      <w:keepNext/>
      <w:keepLines/>
      <w:spacing w:before="240" w:after="80"/>
      <w:outlineLvl w:val="4"/>
    </w:pPr>
    <w:rPr>
      <w:color w:val="666666"/>
      <w:sz w:val="22"/>
      <w:szCs w:val="22"/>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rFonts w:ascii="Arial" w:eastAsia="Arial" w:hAnsi="Arial" w:cs="Arial"/>
      <w:color w:val="666666"/>
      <w:sz w:val="30"/>
      <w:szCs w:val="30"/>
    </w:rPr>
  </w:style>
  <w:style w:type="paragraph" w:styleId="ListParagraph">
    <w:name w:val="List Paragraph"/>
    <w:basedOn w:val="Normal"/>
    <w:uiPriority w:val="34"/>
    <w:qFormat/>
    <w:rsid w:val="003450B5"/>
    <w:pPr>
      <w:ind w:left="720"/>
      <w:contextualSpacing/>
    </w:pPr>
  </w:style>
  <w:style w:type="character" w:styleId="Hyperlink">
    <w:name w:val="Hyperlink"/>
    <w:basedOn w:val="DefaultParagraphFont"/>
    <w:uiPriority w:val="99"/>
    <w:semiHidden/>
    <w:unhideWhenUsed/>
    <w:rsid w:val="00B7505A"/>
    <w:rPr>
      <w:color w:val="0000FF"/>
      <w:u w:val="single"/>
    </w:rPr>
  </w:style>
  <w:style w:type="paragraph" w:customStyle="1" w:styleId="References">
    <w:name w:val="References"/>
    <w:basedOn w:val="Normal"/>
    <w:rsid w:val="007767BB"/>
    <w:pPr>
      <w:autoSpaceDE w:val="0"/>
      <w:autoSpaceDN w:val="0"/>
      <w:snapToGrid w:val="0"/>
      <w:spacing w:after="60"/>
      <w:jc w:val="both"/>
    </w:pPr>
    <w:rPr>
      <w:rFonts w:eastAsia="SimSun"/>
      <w:sz w:val="20"/>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4006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6872B-ECC6-4747-B177-095D2C94E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765</Words>
  <Characters>4364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Yee Sin Chan</cp:lastModifiedBy>
  <cp:revision>2</cp:revision>
  <dcterms:created xsi:type="dcterms:W3CDTF">2022-12-05T19:10:00Z</dcterms:created>
  <dcterms:modified xsi:type="dcterms:W3CDTF">2022-12-05T19:10:00Z</dcterms:modified>
</cp:coreProperties>
</file>